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DED3" w14:textId="77777777" w:rsidR="00D1178A" w:rsidRPr="00D1178A" w:rsidRDefault="00D1178A" w:rsidP="00D117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fr-FR"/>
        </w:rPr>
      </w:pPr>
      <w:r w:rsidRPr="00D1178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fr-FR"/>
        </w:rPr>
        <w:t xml:space="preserve">Modalités de calcul des infimités multiples </w:t>
      </w:r>
    </w:p>
    <w:p w14:paraId="5B2932EB" w14:textId="167AADF6" w:rsidR="00D1178A" w:rsidRPr="00D1178A" w:rsidRDefault="00D1178A" w:rsidP="00D117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fr-FR"/>
        </w:rPr>
      </w:pPr>
      <w:r w:rsidRPr="00D1178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fr-FR"/>
        </w:rPr>
        <w:t>et infirmité aggravée par le service</w:t>
      </w:r>
    </w:p>
    <w:p w14:paraId="1417162F" w14:textId="5CAFB114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 xml:space="preserve">Le conseil d’Etat a rendu une décision intéressante en date du </w:t>
      </w:r>
      <w:hyperlink r:id="rId5" w:tgtFrame="_blank" w:history="1">
        <w:r w:rsidRPr="00D1178A">
          <w:rPr>
            <w:rFonts w:ascii="Times New Roman" w:eastAsia="Times New Roman" w:hAnsi="Times New Roman" w:cs="Times New Roman"/>
            <w:lang w:eastAsia="fr-FR"/>
          </w:rPr>
          <w:t>22 mars 2022</w:t>
        </w:r>
      </w:hyperlink>
      <w:r w:rsidRPr="00D1178A">
        <w:rPr>
          <w:rFonts w:ascii="Times New Roman" w:eastAsia="Times New Roman" w:hAnsi="Times New Roman" w:cs="Times New Roman"/>
          <w:lang w:eastAsia="fr-FR"/>
        </w:rPr>
        <w:t xml:space="preserve"> relative aux militaires et anciens militaires pensionnés victimes de plusieurs infirmités résultant de maladie.</w:t>
      </w:r>
    </w:p>
    <w:p w14:paraId="54BAD80C" w14:textId="28012037" w:rsidR="00C2038C" w:rsidRPr="00D1178A" w:rsidRDefault="00C2038C" w:rsidP="00C203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fr-FR"/>
        </w:rPr>
      </w:pPr>
      <w:r w:rsidRPr="00D1178A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>Modalités de calcul des infimités multiples et infirmité aggravée par le service</w:t>
      </w:r>
      <w:r w:rsidR="00D1178A" w:rsidRPr="00D1178A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>.</w:t>
      </w:r>
    </w:p>
    <w:p w14:paraId="1EFF2F6F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le Code des pension militaires d’invalidité et des victimes de Guerre prévoit que les militaires ont droit à une pension militaire d’invalidité dans les conditions suivantes (article L 121-5):</w:t>
      </w:r>
    </w:p>
    <w:p w14:paraId="3ECB7E74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D1178A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 xml:space="preserve">Pour les infirmités uniques </w:t>
      </w:r>
      <w:r w:rsidRPr="00D1178A">
        <w:rPr>
          <w:rFonts w:ascii="Times New Roman" w:eastAsia="Times New Roman" w:hAnsi="Times New Roman" w:cs="Times New Roman"/>
          <w:b/>
          <w:bCs/>
          <w:lang w:eastAsia="fr-FR"/>
        </w:rPr>
        <w:t>:</w:t>
      </w:r>
    </w:p>
    <w:p w14:paraId="1FBF0CC6" w14:textId="77777777" w:rsidR="00C2038C" w:rsidRPr="00D1178A" w:rsidRDefault="00C2038C" w:rsidP="00C20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10 % pour les blessures</w:t>
      </w:r>
    </w:p>
    <w:p w14:paraId="7F59B93B" w14:textId="77777777" w:rsidR="00C2038C" w:rsidRPr="00D1178A" w:rsidRDefault="00C2038C" w:rsidP="00C20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30 % pour les maladies en temps de paix</w:t>
      </w:r>
    </w:p>
    <w:p w14:paraId="3023FA34" w14:textId="77777777" w:rsidR="00C2038C" w:rsidRPr="00D1178A" w:rsidRDefault="00C2038C" w:rsidP="00C20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10 % pour les maladies en temps de guerre ou en opérations extérieures (OPEX)</w:t>
      </w:r>
    </w:p>
    <w:p w14:paraId="6F427AC6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fr-FR"/>
        </w:rPr>
      </w:pPr>
      <w:r w:rsidRPr="00D1178A">
        <w:rPr>
          <w:rFonts w:ascii="Times New Roman" w:eastAsia="Times New Roman" w:hAnsi="Times New Roman" w:cs="Times New Roman"/>
          <w:b/>
          <w:bCs/>
          <w:color w:val="0000FF"/>
          <w:lang w:eastAsia="fr-FR"/>
        </w:rPr>
        <w:t>Pour les infirmités multiples :</w:t>
      </w:r>
    </w:p>
    <w:p w14:paraId="646CEE9F" w14:textId="77777777" w:rsidR="00C2038C" w:rsidRPr="00D1178A" w:rsidRDefault="00C2038C" w:rsidP="00C203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30 % pour des maladies associées à des blessures ;</w:t>
      </w:r>
    </w:p>
    <w:p w14:paraId="420B2ACB" w14:textId="77777777" w:rsidR="00C2038C" w:rsidRPr="00D1178A" w:rsidRDefault="00C2038C" w:rsidP="00C203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40 % en cas d’infirmités multiples  issues exclusivement de maladie</w:t>
      </w:r>
    </w:p>
    <w:p w14:paraId="41759034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A cet effet, il est prévu que le calcul du taux d’invalidité pour chaque infirmité doit être calculé en fonction de l’invalidité restante lorsque l’infimité principal atteint un taux de 20%.</w:t>
      </w:r>
    </w:p>
    <w:p w14:paraId="5629E84A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en effet, l’article L 125-8 du CPMIVG prévoit que :</w:t>
      </w:r>
    </w:p>
    <w:p w14:paraId="20C15113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« Dans le cas d’infirmités multiples dont aucune n’entraîne l’invalidité absolue, le taux d’invalidité est considéré intégralement pour l’infirmité la plus grave et pour chacune des infirmités supplémentaires, proportionnellement à la validité restante. A cet effet, les infirmités sont classées par ordre décroissant de taux d’invalidité.  Toutefois, quand l’infirmité principale est considérée comme entraînant une invalidité d’au moins 20 %, les degrés d’invalidité de chacune des infirmités supplémentaires sont élevés d’une, de deux ou de trois catégories, soit de 5, 10, 15 %, et ainsi de suite, suivant qu’elles occupent les deuxième, troisième, quatrième rangs dans la série décroissante de leur gravité « .</w:t>
      </w:r>
    </w:p>
    <w:p w14:paraId="335018D9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Ces règles semblent simples lorsque le militaire est victime de plusieurs infirmités dans le même temps.</w:t>
      </w:r>
    </w:p>
    <w:p w14:paraId="22D61998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Dans l’affaire jugée par le conseil d’Etat il s’agissant d’un militaire qui avait déjà obtenu une pension militaire d’invalidité pour une maladie fixée au taux de 30%</w:t>
      </w:r>
    </w:p>
    <w:p w14:paraId="0AA0B11E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Il demandait par la suite la reconnaissance d’autres infirmités et notamment une infirmité non liée au service mais aggravée par celui-ci ce qui avait été reconnu par le service des pensions à hauteur de 10%.</w:t>
      </w:r>
    </w:p>
    <w:p w14:paraId="51B777A8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la cour administrative d’appel de Marseille avait rejeté la demande de ce militaire considérant que cette infirmité nouvelle n’atteignait pas le taux de 30 % dès lors qu’il s’agissait d’une maladie et qu’il ne pouvait donc prétendre à une pension au titre du taux de 10% lié au service.</w:t>
      </w:r>
    </w:p>
    <w:p w14:paraId="067644DF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La solution originale de l’arrêt rendu réside dans la fait que le Conseil d’Etat a estimé que la notion d’infirmités multiples devait tenir compte de l’ensemble des infirmités déjà pensionnées et ce quand bien même les infirmités ne sont pas liées entre elles.</w:t>
      </w:r>
    </w:p>
    <w:p w14:paraId="023CD484" w14:textId="148C090C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 xml:space="preserve">Ainsi, le conseil d’Etat a censurée la cour administrative d’appel qui avait pris isolément la nouvelle informité sans tenir compte de la précédente alors qu’elle aurait </w:t>
      </w:r>
      <w:r w:rsidR="00D1178A" w:rsidRPr="00D1178A">
        <w:rPr>
          <w:rFonts w:ascii="Times New Roman" w:eastAsia="Times New Roman" w:hAnsi="Times New Roman" w:cs="Times New Roman"/>
          <w:lang w:eastAsia="fr-FR"/>
        </w:rPr>
        <w:t>dû</w:t>
      </w:r>
      <w:r w:rsidRPr="00D1178A">
        <w:rPr>
          <w:rFonts w:ascii="Times New Roman" w:eastAsia="Times New Roman" w:hAnsi="Times New Roman" w:cs="Times New Roman"/>
          <w:lang w:eastAsia="fr-FR"/>
        </w:rPr>
        <w:t xml:space="preserve"> le faire considérant que le militaire se trouvait dans une situation d’infimités multiples et non pas d’infimité simple.</w:t>
      </w:r>
    </w:p>
    <w:p w14:paraId="72B17396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Dans ces conditions, le taux d’invalidité obtenu par la jonction des deux infirmités a permis à ce militaire de voir son infirmité prise en compte et ce même si elle n’était que de 10% dès lors que cette infimité devait être considérée comme une aggravation.</w:t>
      </w:r>
    </w:p>
    <w:p w14:paraId="1CAC4512" w14:textId="77777777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lang w:eastAsia="fr-FR"/>
        </w:rPr>
        <w:t>Le Conseil d’Etat a jugé en effet que :</w:t>
      </w:r>
    </w:p>
    <w:p w14:paraId="17E28C99" w14:textId="401A5734" w:rsidR="00C2038C" w:rsidRPr="00D1178A" w:rsidRDefault="00C2038C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1178A">
        <w:rPr>
          <w:rFonts w:ascii="Times New Roman" w:eastAsia="Times New Roman" w:hAnsi="Times New Roman" w:cs="Times New Roman"/>
          <w:i/>
          <w:iCs/>
          <w:lang w:eastAsia="fr-FR"/>
        </w:rPr>
        <w:t> </w:t>
      </w:r>
      <w:r w:rsidR="00D1178A" w:rsidRPr="00D1178A">
        <w:rPr>
          <w:rFonts w:ascii="Times New Roman" w:eastAsia="Times New Roman" w:hAnsi="Times New Roman" w:cs="Times New Roman"/>
          <w:i/>
          <w:iCs/>
          <w:lang w:eastAsia="fr-FR"/>
        </w:rPr>
        <w:t>« </w:t>
      </w:r>
      <w:r w:rsidRPr="00D1178A">
        <w:rPr>
          <w:rFonts w:ascii="Times New Roman" w:eastAsia="Times New Roman" w:hAnsi="Times New Roman" w:cs="Times New Roman"/>
          <w:i/>
          <w:iCs/>
          <w:lang w:eastAsia="fr-FR"/>
        </w:rPr>
        <w:t>en ne prenant pas en considération, pour apprécier le droit au bénéfice d’une pension au titre de l’aggravation de l’hypertension artérielle, l’existence de l’affection de  » trouble anxiodépressif  » au titre de laquelle une pension d’invalidité a déjà été allouée à l’intéressé et en ne regardant pas ces deux affections comme des infirmités multiples au sens du 3° de l’article L. 4 du code des pensions militaires d’invalidité et des victimes de la guerre, la cour administrative d’appel a commis une erreur de droit. Par suite, M. K… est fondé à demander l’annulation de l’arrêt qu’il attaque en tant qu’il ne lui a pas reconnu un droit à pension pour l’infirmité  » hypertension artérielle avec retentissement cardiaque « .</w:t>
      </w:r>
    </w:p>
    <w:p w14:paraId="15F5F4FC" w14:textId="77777777" w:rsidR="00D1178A" w:rsidRDefault="00C2038C" w:rsidP="00D11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D1178A">
        <w:rPr>
          <w:rFonts w:ascii="Times New Roman" w:eastAsia="Times New Roman" w:hAnsi="Times New Roman" w:cs="Times New Roman"/>
          <w:i/>
          <w:iCs/>
          <w:lang w:eastAsia="fr-FR"/>
        </w:rPr>
        <w:t>« Il résulte de l’instruction que M. K… s’est vu définitivement reconnaître un droit à pension pour troubles anxiodépressifs à hauteur de 30 % et que l’hypertension artérielle dont souffre l’intéressé a été aggravée par le seul fait du service à hauteur de 10 %. L’infirmité pour troubles anxiodépressif entraînant une invalidité d’au moins 20 %, le degré d’invalidité de l’infirmité résultant de l’hypertension artérielle doit être augmenté de 5 %, soit un degré d’invalidité total pour cette deuxième infirmité de 15 % à appliquer proportionnellement à la validité restante s’élevant à 70 %. Ainsi, le degré d’invalidité résultant, de ces infirmités multiples étant égal à 40,5 %, M. K… peut prétendre, en application des dispositions du 3° de l’article L. 4, au bénéfice d’une pension pour l’ensemble de ces infirmités. Il est, par suite, fondé à demander l’attribution d’une pension au taux de 45 %, conformément aux dispositions de l’article L. 9 du code des pensions militaires d’invalidité et des victimes de la guerre, qui se substitue au taux de 30 %, à compter du 26 novembre 2008, date de réception de sa demande »</w:t>
      </w:r>
      <w:r w:rsidR="00D1178A">
        <w:rPr>
          <w:rFonts w:ascii="Times New Roman" w:eastAsia="Times New Roman" w:hAnsi="Times New Roman" w:cs="Times New Roman"/>
          <w:i/>
          <w:iCs/>
          <w:lang w:eastAsia="fr-FR"/>
        </w:rPr>
        <w:t xml:space="preserve">. </w:t>
      </w:r>
    </w:p>
    <w:p w14:paraId="14EDC3AA" w14:textId="39C364B9" w:rsidR="00D1178A" w:rsidRPr="00D1178A" w:rsidRDefault="00D1178A" w:rsidP="00C20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D1178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MDMH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-</w:t>
      </w:r>
      <w:r w:rsidRPr="00D1178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Avocats associés : </w:t>
      </w:r>
      <w:hyperlink r:id="rId6" w:history="1">
        <w:r w:rsidRPr="00D1178A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01 55 80 70 80</w:t>
        </w:r>
      </w:hyperlink>
      <w:r w:rsidRPr="00D1178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hyperlink r:id="rId7" w:history="1">
        <w:r w:rsidRPr="00D1178A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mdmh-avocats.fr</w:t>
        </w:r>
      </w:hyperlink>
    </w:p>
    <w:sectPr w:rsidR="00D1178A" w:rsidRPr="00D1178A" w:rsidSect="00C20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445"/>
    <w:multiLevelType w:val="multilevel"/>
    <w:tmpl w:val="A0A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05C8D"/>
    <w:multiLevelType w:val="multilevel"/>
    <w:tmpl w:val="BB76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803919">
    <w:abstractNumId w:val="0"/>
  </w:num>
  <w:num w:numId="2" w16cid:durableId="123975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8C"/>
    <w:rsid w:val="00233ECF"/>
    <w:rsid w:val="00955FDD"/>
    <w:rsid w:val="00C2038C"/>
    <w:rsid w:val="00D1178A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C92A"/>
  <w15:chartTrackingRefBased/>
  <w15:docId w15:val="{936BC2D1-1BFB-4E6E-864D-42D5061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20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03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2038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2038C"/>
    <w:rPr>
      <w:i/>
      <w:iCs/>
    </w:rPr>
  </w:style>
  <w:style w:type="character" w:customStyle="1" w:styleId="w8qarf">
    <w:name w:val="w8qarf"/>
    <w:basedOn w:val="Policepardfaut"/>
    <w:rsid w:val="00D1178A"/>
  </w:style>
  <w:style w:type="character" w:customStyle="1" w:styleId="etvozd">
    <w:name w:val="etvozd"/>
    <w:basedOn w:val="Policepardfaut"/>
    <w:rsid w:val="00D1178A"/>
  </w:style>
  <w:style w:type="character" w:customStyle="1" w:styleId="lrzxr">
    <w:name w:val="lrzxr"/>
    <w:basedOn w:val="Policepardfaut"/>
    <w:rsid w:val="00D1178A"/>
  </w:style>
  <w:style w:type="character" w:customStyle="1" w:styleId="jjswrd">
    <w:name w:val="jjswrd"/>
    <w:basedOn w:val="Policepardfaut"/>
    <w:rsid w:val="00D1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5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1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5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7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9838">
                                              <w:marLeft w:val="225"/>
                                              <w:marRight w:val="22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0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mh-avocats.fr/contactez-no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search?q=MDMH&amp;source=hp&amp;ei=nlReY4miOPGC9u8PrP6esAI&amp;iflsig=AJiK0e8AAAAAY15irkab7rifsyfx9msaryLGrFG18n9C&amp;ved=0ahUKEwiJ6df14Yf7AhVxgf0HHSy_ByYQ4dUDCAg&amp;uact=5&amp;oq=MDMH&amp;gs_lcp=Cgdnd3Mtd2l6EAMyBQgAEIAEMgoIABCABBCxAxAKMg0ILhCABBDHARCvARAKMg0ILhCABBDHARCvARAKMg0ILhCABBDHARCvARAKMg0ILhCABBDHARCvARAKMg0ILhCABBDHARCvARAKMg0ILhCABBDHARCvARAKMgUIABCABDILCC4QsQMQxwEQrwE6CwgAEIAEELEDEIMBOgcIABCABBADOggIABCABBCxAzoICC4QsQMQgwE6EQguEIAEELEDEIMBEMcBENEDOgsILhCABBDHARCvAVCMDlioIGDoJGgBcAB4AIAB6wGIAfsEkgEFMS4yLjGYAQCgAQGwAQA&amp;sclient=gws-wiz" TargetMode="External"/><Relationship Id="rId5" Type="http://schemas.openxmlformats.org/officeDocument/2006/relationships/hyperlink" Target="https://www.legifrance.gouv.fr/ceta/id/CETATEXT000045410288?juridiction=CONSEIL_ETAT&amp;juridiction=COURS_APPEL&amp;juridiction=TRIBUNAL_ADMINISTATIF&amp;juridiction=TRIBUNAL_CONFLIT&amp;page=1&amp;pageSize=10&amp;query=442509&amp;searchField=ALL&amp;searchType=ALL&amp;sortValue=DATE_DESC&amp;tab_selection=cet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jean marie</dc:creator>
  <cp:keywords/>
  <dc:description/>
  <cp:lastModifiedBy>etienne jean marie</cp:lastModifiedBy>
  <cp:revision>2</cp:revision>
  <dcterms:created xsi:type="dcterms:W3CDTF">2022-11-04T10:52:00Z</dcterms:created>
  <dcterms:modified xsi:type="dcterms:W3CDTF">2022-11-04T10:52:00Z</dcterms:modified>
</cp:coreProperties>
</file>